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I/1-2024/3, 4 vom 14. November 2024</w:t>
      </w:r>
    </w:p>
    <w:p>
      <w:r>
        <w:t>Sg Verwaltungsrekurskommission, 2024-11-14, DE</w:t>
      </w:r>
    </w:p>
    <w:p>
      <w:r>
        <w:rPr>
          <w:b/>
        </w:rPr>
        <w:t xml:space="preserve">Quelle: </w:t>
      </w:r>
      <w:r>
        <w:t>https://mcp.opencaselaw.ch/entscheid/sg_publikationen_I_1-2024_3, 4</w:t>
      </w:r>
    </w:p>
    <w:p>
      <w:r>
        <w:t>FR: SG_VERWALTUNGSREKURSKOMMISSION I/1-2024/3, 4 du 14 novembre 2024</w:t>
      </w:r>
    </w:p>
    <w:p>
      <w:r>
        <w:t>IT: SG_VERWALTUNGSREKURSKOMMISSION I/1-2024/3, 4 del 14 novembre 2024</w:t>
      </w:r>
    </w:p>
    <w:p>
      <w:pPr>
        <w:pStyle w:val="Heading2"/>
      </w:pPr>
      <w:r>
        <w:t>Regeste</w:t>
      </w:r>
    </w:p>
    <w:p>
      <w:r>
        <w:t>Geschäftsmässig begründete Kosten, Art. 82 und 84 StG, Art. 58 und 59 DBG, Eine buchführende Steuerpflichtige erbringt den Beweis für grundsätzlich steuermindernde Aufwendungen durch die Vorlage einer Erfolgsrechnung, die auf einer ordnungsgemässen Buchhaltung beruht. Es müssen nachprüfbare Nachweise für die einzelnen Buchungsvorgänge vorhanden sein. Die Buchführung der Steuerpflichtigen erfüllt die formellen Erfordernisse an eine ordnungsgemässe Buchhaltung nicht, weshalb der Bilanz- und Erfolgsrechnung die Massgeblichkeit für die steuerliche Gewinnermittlung abzusprechen ist. Im Weiteren müssen sodann nicht nur die Buchungen nachvollziehbar sein, sondern auch die diesen zugrundeliegenden Sachverhalte. Dies ist jedenfalls dann nicht möglich, wenn die Belege konstruiert erscheinen. Der Steuerpflichtigen gelingt es nicht, die geschäftsmässige Begründetheit für Drittleistungen nachzuweisen, weshalb die vorinstanzlich aufgerechneten Aufwände zu bestätigen sind (Verwaltungsrekurskommission, Abteilung I/1, 14. November 2024, I/1-2024/3, 4).</w:t>
      </w:r>
    </w:p>
    <w:p>
      <w:pPr>
        <w:pStyle w:val="Heading2"/>
      </w:pPr>
      <w:r>
        <w:t>Erwägungen</w:t>
      </w:r>
    </w:p>
    <w:p>
      <w:r>
        <w:rPr>
          <w:b/>
        </w:rPr>
        <w:t>E. 1</w:t>
      </w:r>
    </w:p>
    <w:p>
      <w:r>
        <w:t>Die Verfahren I/1-2024/3 (Kantonssteuern 2022) und I/1-2024/4 (direkte Bundessteuer 2022) betreffen die gleichen Verfahrensparteien. Die sich in den Verfahren stellenden Fra- gen hängen aktenmässig und inhaltlich eng zusammen. Vor diesem Hintergrund erscheint es gerechtfertigt, den Rekurs und die Beschwerde im gleichen Entscheid, aber mit getrenn- ten Dispositivziffern zu erledigen (BGE 130 II 509 E. 8.3 = Pra 94 [2005] Nr. 114; BGE 135 II 260 E. 1.3 und 142 II 293 E. 1.2; BGer 2C_440 und 441/2014 vom 10. Oktober 2014 E. 1.2).</w:t>
      </w:r>
    </w:p>
    <w:p>
      <w:r>
        <w:rPr>
          <w:b/>
        </w:rPr>
        <w:t>E. 2</w:t>
      </w:r>
    </w:p>
    <w:p>
      <w:r>
        <w:t>Die Eintretensvoraussetzungen sind von Amtes wegen zu prüfen. Die VRK ist zum Sach- entscheid zuständig. Die Befugnis zur Rechtsmittelerhebung ist gegeben. Der Rekurs und die Beschwerde vom 3. Januar 2024 sind rechtzeitig eingereicht worden. Sie erfüllen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und Art. 48 des Gesetzes über die Verwal- tungsrechtspflege [sGS 951.1, abgekürzt: VRP]). Auf den Rekurs und die Beschwerde ist einzutreten. II. Kantonssteuern</w:t>
      </w:r>
    </w:p>
    <w:p>
      <w:r>
        <w:rPr>
          <w:b/>
        </w:rPr>
        <w:t>E. 3</w:t>
      </w:r>
    </w:p>
    <w:p>
      <w:r>
        <w:t>Im Rekursverfahren ist umstritten, ob die Vorinstanz dem steuerbaren Reingewinn der Rekurrentin des Jahres 2022 zu Recht geldwerte Leistungen in der Gesamthöhe von Fr. 115'500.– hinzurechnete. Streitig sind folgende, von der Rekurrentin erfolgswirksam verbuchten Aufwände für Drittleistungen: D.__ GmbH in Liquidation Fr. 75'000.– (15.02.-15.08.2022) E.__ GmbH in Liquidation Fr. 40'500.– (18.08.-11.12.2022) a) Die Vorinstanz erwog, dass sowohl die eingereichten Rechnungen der Subunternehmen als auch die handschriftlichen Regierapporte konstruiert wirken würden. So seien die Be- träge auf den Rechnungen beispielsweise auf den Rappen genau, wobei die Zahlungen auf I/1-2024/3, 4 3/11</w:t>
      </w:r>
    </w:p>
    <w:p>
      <w:r>
        <w:t>Fr. 100.– gerundet worden seien. Ferner sei auf den Regierapporten die Firma D.__ GmbH falsch geschrieben worden. Zudem seien weder die Namen der anwesenden Mitarbeiter noch der genaue Zeitraum der geleisteten Stunden angegeben. Die grösste Auffälligkeit bestehe jedoch darin, dass bei den Regierapporten der D.__ GmbH verarbeitete Quadrat- meter aufgeführt, in den Rechnungen indes geleistete Stunden verrechnet würden. Im Üb- rigen werfe auch der zeitliche Ablauf Fragen auf. Vom 1. Januar bis 31. August 2022 habe die D.__ GmbH die Arbeiten ausgeführt. Nachdem die D.__ GmbH am 15. August 2022 in Liquidation gesetzt wurde, habe die E.__ GmbH die Arbeiten nahtlos übernommen. Es er- staune sodann, dass die Rekurrentin keine weiteren Belege für die Leistungen an die Sub- unternehmen vorweisen könne. Den Nachweis der geschäftsmässigen Begründetheit der Drittleistungen habe die Rekurrentin folglich nicht erbracht. Ein weiteres Indiz dafür, dass die Zahlungen an die Subunternehmen zu hoch ausgefallen seien, sei die im Vergleich überdurchschnittlich hohe Personalaufwandquote. b) Die Rekurrentin hält dem entgegen, dass man hier mit kleineren Unternehmen zu tun habe, die von Handwerkern geführt würden. So sei beispielsweise ein Schreibfehler des Firmennamens in den Regierapporten noch kein Indiz dafür, dass diese nicht der Wahrheit entsprechen würden. Der Austausch zwischen ihr und den Subunternehmen habe telefo- nisch oder persönlich stattgefunden. Sämtliche Zahlungen seien in Bar getätigt worden. Deswegen seien keine weiteren Belege vorhanden. Die Vertragsparteien hätten mündlich vereinbart, die Leistungen in Form von Akontozahlungen zu vergüten. Teilweise sei auch im Vorhinein ein Fixpreis festgesetzt worden. Entsprechend seien die Abrechnungsme- thode und der Abrechnungssatz letztendlich unwesentlich. Des Weiteren seien die Ge- schäftsführer der Gesellschaften miteinander befreundet und hätten ein "tiefgründiges Ver- trauensverhältnis". Ihr Vorgehen möge ungewöhnlich erscheinen, sei aber bei Handwer- kern und Unternehmen dieser Grösse nicht unüblich. Zugegebenermassen würden die Be- lege zwar Unstimmigkeiten aufweisen, dies beweise jedoch noch nicht, dass die betreffen- den Zahlungen geschäftsmässig nicht begründet gewesen seien. Es handle sich vielmehr um kleine Fehler oder Nachlässigkeiten. c) Ausgangslage für die Bemessung des steuerbaren Reingewinns juristischer Personen ist gemäss Art. 82 Abs. 1 lit. a StG der Saldo der Erfolgsrechnung. Nach Art. 84 Abs. 1 StG werden Aufwendungen bei der Berechnung des Reingewinns berücksichtigt, sofern sie ge- schäftsmässig begründet sind. Dieser Saldo wird gemäss Art. 82 Abs. 1 lit. b Ziff. 1 StG u.a. ergänzt durch alle vor Berechnung des Saldos der Erfolgsrechnung ausgeschiedenen Teile des Geschäftsergebnisses, die nicht zur Deckung des geschäftsmässig begründeten Auf- I/1-2024/3, 4 4/11</w:t>
      </w:r>
    </w:p>
    <w:p>
      <w:r>
        <w:t>wandes verwendet werden. Darunter fallen auch offene und verdeckte Gewinnausschüt- tungen sowie Gewinnvorwegnahmen (Ziff. 5) und geschäftsmässig nicht begründete Zu- wendungen an Dritte (Ziff. 6). Inhaltlich stimmen diese Vorschriften weitgehend mit Art. 24 und 25 des Bundesgesetzes über die Harmonisierung der direkten Steuern der Kantone und Gemeinden (SR 642.14, abgekürzt: StHG) und Art. 58 und 59 DBG überein (vgl. hinten E. 4), weshalb auch auf die entsprechende Rechtsprechung und Lehre zu den bundesrecht- lichen Vorschriften verwiesen werden kann. Leistungen an Dritte stellen verdeckte Gewinn- ausschüttungen dar, wenn sie ohne entsprechende Gegenleistung erfolgen oder ein we- sentliches Missverhältnis zwischen Leistung und Gegenleistung besteht. Beim Letzteren muss die Gegenleistung des Dritten der Leistung der Gesellschaft in einem solchen Aus- mass nicht entsprechen, dass die Gesellschaft von unbeteiligten Dritten in jedem Fall eine höhere Gegenleistung verlangen würde und dies nach den Marktverhältnissen auch tun könnte (vgl. RICHNER/FREI/KAUFMANN/ROHNER, Handkommentar zum DBG, 4. Aufl. 2023, Art. 58 N 142). Beweisbelastet für steuermindernde Tatsachen ist gemäss der allgemeinen Beweislastre- gel die steuerpflichtige Person (RICHNER/FREI/KAUFMANN/ROHNER, a.a.O., Art. 123 N 77). Ist streitig, ob einer Leistung der Gesellschaft überhaupt eine Gegenleistung des Beteiligten gegenübersteht, trägt die Gesellschaft die Beweislast für das Vorhandensein einer solchen Gegenleistung. Sie muss zudem den Beweis für die geschäftsmässige Begründetheit der Leistung erbringen. Bei einer buchführenden Steuerpflichtigen gilt dafür der Massgeblich- keitsgrundsatz. Diese erbringt den Beweis für steuermindernde Aufwendungen (geschäfts- mässige Begründetheit von Ausgaben usw.) durch die Vorlage einer Erfolgsrechnung, die auf einer ordnungsmässigen Buchhaltung beruht (vgl. RICHNER/FREI/KAUFMANN/ROHNER, a.a.O., Art. 123 N 85). Nach dem Belegprinzip müssen unter anderem nachprüfbare Nach- weise für die einzelnen Buchungsvorgänge vorhanden sein (vgl. Art. 957a Abs. 2 Ziff. 2 und</w:t>
      </w:r>
    </w:p>
    <w:p>
      <w:r>
        <w:rPr>
          <w:b/>
        </w:rPr>
        <w:t>E. 5</w:t>
      </w:r>
    </w:p>
    <w:p>
      <w:r>
        <w:t>Art. 82 Abs. 1 und Art. 84 Abs. 1 StG entsprechen im Wesentlichen Art. 58 und 59 DBG. Diese Bestimmungen harmonieren mit Art. 24 und 25 StHG. Daraus folgt, dass die Erwä- gungen zu den Kantonssteuern für die direkte Bundessteuer analog massgebend sind. Für die direkte Bundessteuer ergibt sich dasselbe Ergebnis wie bei den Kantonssteuern. Dem- nach ist die Beschwerde ebenfalls abzuweisen. IV. Kosten</w:t>
      </w:r>
    </w:p>
    <w:p>
      <w:r>
        <w:rPr>
          <w:b/>
        </w:rPr>
        <w:t>E. 6</w:t>
      </w:r>
    </w:p>
    <w:p>
      <w:r>
        <w:t>a) Bei diesem Verfahrensausgang sind die Kosten des Rekurs- und Beschwerdeverfah- rens der Rekurrentin und Beschwerdeführerin aufzuerlegen (Art. 95 Abs. 1 VRP, Art. 144 Abs. 1 DBG). Eine Entscheidgebühr von je Fr. 1'000.– erscheint angemessen Art. 7 Ziff. 122 der Gerichtskostenverordnung, sGS 941.12). Die Kostenvorschüsse in gleicher Höhe sind damit zu verrechnen. I/1-2024/3, 4 9/11</w:t>
      </w:r>
    </w:p>
    <w:p>
      <w:r>
        <w:t>b) Ausseramtliche Kosten sind nicht zu entschädigen (Art. 98bis VRP, Art. 144 Abs. 4 DBG i.V.m. Art. 64 Abs. 1 des Bundesgesetzes über das Verwaltungsverfahren [SR 172.021, abgekürzt: VwVG]). I/1-2024/3, 4 10/11</w:t>
      </w:r>
    </w:p>
    <w:p>
      <w:r>
        <w:t>Entscheid: 1. Der Rekurs wird abgewiesen. 2. Die Beschwerde wird abgewiesen. 3. Die Rekurrentin hat die Kosten des Rekursverfahrens von Fr. 1’000.– (Entscheidge- bühr) zu bezahlen, unter Verrechnung des Kostenvorschusses in gleicher Höhe. 4. Die Beschwerdeführerin hat die Kosten des Beschwerdeverfahrens von Fr. 1’000.– (Entscheidgebühr) zu bezahlen, unter Verrechnung des Kostenvorschusses in gleicher Höhe. 5. Ausseramtliche Kosten werden nicht entschädigt. I/1-2024/3, 4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